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664"/>
        <w:pBdr/>
        <w:spacing/>
        <w:ind/>
        <w:rPr>
          <w:rFonts w:ascii="Verdana" w:hAnsi="Verdana" w:cs="Verdana"/>
          <w:color w:val="000000"/>
          <w:sz w:val="16"/>
          <w:szCs w:val="16"/>
        </w:rPr>
      </w:pPr>
      <w:r>
        <w:rPr>
          <w:rFonts w:ascii="Verdana" w:hAnsi="Verdana" w:cs="Verdana"/>
          <w:color w:val="000000"/>
          <w:sz w:val="16"/>
          <w:szCs w:val="16"/>
        </w:rPr>
      </w:r>
      <w:r>
        <w:rPr>
          <w:rFonts w:ascii="Verdana" w:hAnsi="Verdana" w:cs="Verdana"/>
          <w:color w:val="000000"/>
          <w:sz w:val="16"/>
          <w:szCs w:val="16"/>
        </w:rPr>
      </w:r>
    </w:p>
    <w:p>
      <w:pPr>
        <w:pStyle w:val="664"/>
        <w:pBdr/>
        <w:spacing/>
        <w:ind/>
        <w:jc w:val="center"/>
        <w:rPr/>
      </w:pPr>
      <w:r>
        <w:rPr>
          <w:rFonts w:ascii="Verdana" w:hAnsi="Verdana" w:cs="Verdana"/>
          <w:color w:val="000000"/>
          <w:sz w:val="36"/>
          <w:szCs w:val="36"/>
        </w:rPr>
        <w:t xml:space="preserve">2040 Bank Holidays</w:t>
      </w:r>
      <w:r/>
      <w:r>
        <w:rPr>
          <w:rFonts w:ascii="Verdana" w:hAnsi="Verdana" w:cs="Verdana"/>
          <w:color w:val="000000"/>
          <w:sz w:val="36"/>
          <w:szCs w:val="36"/>
        </w:rPr>
      </w:r>
      <w:r>
        <w:rPr>
          <w:rFonts w:ascii="Verdana" w:hAnsi="Verdana" w:cs="Verdana"/>
          <w:color w:val="000000"/>
          <w:sz w:val="36"/>
          <w:szCs w:val="36"/>
        </w:rPr>
      </w:r>
      <w:r/>
    </w:p>
    <w:p>
      <w:pPr>
        <w:pStyle w:val="664"/>
        <w:pBdr/>
        <w:spacing/>
        <w:ind/>
        <w:rPr/>
      </w:pPr>
      <w:r/>
      <w:r/>
    </w:p>
    <w:p>
      <w:pPr>
        <w:pStyle w:val="664"/>
        <w:pBdr/>
        <w:spacing/>
        <w:ind/>
        <w:rPr/>
      </w:pPr>
      <w:r/>
      <w:r/>
    </w:p>
    <w:tbl>
      <w:tblPr>
        <w:jc w:val="center"/>
        <w:tblInd w:w="0" w:type="dxa"/>
        <w:tblW w:w="5013" w:type="dxa"/>
        <w:tblCellMar>
          <w:left w:w="108" w:type="dxa"/>
          <w:top w:w="0" w:type="dxa"/>
          <w:right w:w="108" w:type="dxa"/>
          <w:bottom w:w="0" w:type="dxa"/>
        </w:tblCellMar>
        <w:tblBorders/>
        <w:tblLayout w:type="fixed"/>
        <w:tblLook w:val="04A0" w:firstRow="1" w:lastRow="0" w:firstColumn="1" w:lastColumn="0" w:noHBand="0" w:noVBand="1"/>
      </w:tblPr>
      <w:tblGrid>
        <w:gridCol w:w="3115"/>
        <w:gridCol w:w="1898"/>
      </w:tblGrid>
      <w:tr>
        <w:trPr>
          <w:trHeight w:val="40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5" w:type="dxa"/>
            <w:vAlign w:val="center"/>
            <w:textDirection w:val="lrTb"/>
            <w:noWrap w:val="false"/>
          </w:tcPr>
          <w:p>
            <w:pPr>
              <w:pStyle w:val="664"/>
              <w:pBdr/>
              <w:spacing/>
              <w:ind/>
              <w:rPr>
                <w:rFonts w:ascii="Verdana" w:hAnsi="Verdana" w:cs="Verdana"/>
                <w:color w:val="000000"/>
                <w:sz w:val="20"/>
              </w:rPr>
            </w:pPr>
            <w:r>
              <w:rPr>
                <w:rFonts w:ascii="Verdana" w:hAnsi="Verdana" w:cs="Verdana"/>
                <w:b/>
                <w:bCs/>
                <w:color w:val="ff0000"/>
                <w:sz w:val="20"/>
              </w:rPr>
              <w:t xml:space="preserve"> </w:t>
            </w:r>
            <w:r>
              <w:rPr>
                <w:rFonts w:ascii="Verdana" w:hAnsi="Verdana" w:cs="Verdana"/>
                <w:b/>
                <w:bCs/>
                <w:color w:val="ff0000"/>
                <w:sz w:val="20"/>
              </w:rPr>
              <w:t xml:space="preserve">New Year's Day Holiday</w:t>
            </w:r>
            <w:r>
              <w:rPr>
                <w:rFonts w:ascii="Verdana" w:hAnsi="Verdana" w:cs="Verdana"/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98" w:type="dxa"/>
            <w:vAlign w:val="center"/>
            <w:textDirection w:val="lrTb"/>
            <w:noWrap w:val="false"/>
          </w:tcPr>
          <w:p>
            <w:pPr>
              <w:pStyle w:val="664"/>
              <w:pBdr/>
              <w:spacing/>
              <w:ind/>
              <w:rPr>
                <w:rFonts w:ascii="Verdana" w:hAnsi="Verdana" w:cs="Verdana"/>
                <w:color w:val="000000"/>
                <w:sz w:val="20"/>
              </w:rPr>
            </w:pPr>
            <w:r>
              <w:rPr>
                <w:rFonts w:ascii="Verdana" w:hAnsi="Verdana" w:cs="Verdana"/>
                <w:b/>
                <w:bCs/>
                <w:color w:val="ff0000"/>
                <w:sz w:val="20"/>
              </w:rPr>
              <w:t xml:space="preserve"> </w:t>
            </w:r>
            <w:r>
              <w:rPr>
                <w:rFonts w:ascii="Verdana" w:hAnsi="Verdana" w:cs="Verdana"/>
                <w:b/>
                <w:bCs/>
                <w:color w:val="ff0000"/>
                <w:sz w:val="20"/>
              </w:rPr>
              <w:t xml:space="preserve">January 2</w:t>
            </w:r>
            <w:r>
              <w:rPr>
                <w:rFonts w:ascii="Verdana" w:hAnsi="Verdana" w:cs="Verdana"/>
                <w:color w:val="000000"/>
                <w:sz w:val="20"/>
              </w:rPr>
            </w:r>
          </w:p>
        </w:tc>
      </w:tr>
      <w:tr>
        <w:trPr>
          <w:trHeight w:val="40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5" w:type="dxa"/>
            <w:vAlign w:val="center"/>
            <w:textDirection w:val="lrTb"/>
            <w:noWrap w:val="false"/>
          </w:tcPr>
          <w:p>
            <w:pPr>
              <w:pStyle w:val="664"/>
              <w:pBdr/>
              <w:spacing/>
              <w:ind/>
              <w:rPr>
                <w:rFonts w:ascii="Verdana" w:hAnsi="Verdana" w:cs="Verdana"/>
                <w:color w:val="000000"/>
                <w:sz w:val="20"/>
              </w:rPr>
            </w:pPr>
            <w:r>
              <w:rPr>
                <w:rFonts w:ascii="Verdana" w:hAnsi="Verdana" w:cs="Verdana"/>
                <w:b/>
                <w:bCs/>
                <w:color w:val="ff0000"/>
                <w:sz w:val="20"/>
              </w:rPr>
              <w:t xml:space="preserve"> </w:t>
            </w:r>
            <w:r>
              <w:rPr>
                <w:rFonts w:ascii="Verdana" w:hAnsi="Verdana" w:cs="Verdana"/>
                <w:b/>
                <w:bCs/>
                <w:color w:val="ff0000"/>
                <w:sz w:val="20"/>
              </w:rPr>
              <w:t xml:space="preserve">Good Friday</w:t>
            </w:r>
            <w:r>
              <w:rPr>
                <w:rFonts w:ascii="Verdana" w:hAnsi="Verdana" w:cs="Verdana"/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98" w:type="dxa"/>
            <w:vAlign w:val="center"/>
            <w:textDirection w:val="lrTb"/>
            <w:noWrap w:val="false"/>
          </w:tcPr>
          <w:p>
            <w:pPr>
              <w:pStyle w:val="664"/>
              <w:pBdr/>
              <w:spacing/>
              <w:ind/>
              <w:rPr>
                <w:rFonts w:ascii="Verdana" w:hAnsi="Verdana" w:cs="Verdana"/>
                <w:color w:val="000000"/>
                <w:sz w:val="20"/>
              </w:rPr>
            </w:pPr>
            <w:r>
              <w:rPr>
                <w:rFonts w:ascii="Verdana" w:hAnsi="Verdana" w:cs="Verdana"/>
                <w:b/>
                <w:bCs/>
                <w:color w:val="ff0000"/>
                <w:sz w:val="20"/>
              </w:rPr>
              <w:t xml:space="preserve"> </w:t>
            </w:r>
            <w:r>
              <w:rPr>
                <w:rFonts w:ascii="Verdana" w:hAnsi="Verdana" w:cs="Verdana"/>
                <w:b/>
                <w:bCs/>
                <w:color w:val="ff0000"/>
                <w:sz w:val="20"/>
              </w:rPr>
              <w:t xml:space="preserve">March 30</w:t>
            </w:r>
            <w:r>
              <w:rPr>
                <w:rFonts w:ascii="Verdana" w:hAnsi="Verdana" w:cs="Verdana"/>
                <w:color w:val="000000"/>
                <w:sz w:val="20"/>
              </w:rPr>
            </w:r>
          </w:p>
        </w:tc>
      </w:tr>
      <w:tr>
        <w:trPr>
          <w:trHeight w:val="40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5" w:type="dxa"/>
            <w:vAlign w:val="center"/>
            <w:textDirection w:val="lrTb"/>
            <w:noWrap w:val="false"/>
          </w:tcPr>
          <w:p>
            <w:pPr>
              <w:pStyle w:val="664"/>
              <w:pBdr/>
              <w:spacing/>
              <w:ind/>
              <w:rPr>
                <w:rFonts w:ascii="Verdana" w:hAnsi="Verdana" w:cs="Verdana"/>
                <w:color w:val="000000"/>
                <w:sz w:val="20"/>
              </w:rPr>
            </w:pPr>
            <w:r>
              <w:rPr>
                <w:rFonts w:ascii="Verdana" w:hAnsi="Verdana" w:cs="Verdana"/>
                <w:b/>
                <w:bCs/>
                <w:color w:val="ff0000"/>
                <w:sz w:val="20"/>
              </w:rPr>
              <w:t xml:space="preserve"> </w:t>
            </w:r>
            <w:r>
              <w:rPr>
                <w:rFonts w:ascii="Verdana" w:hAnsi="Verdana" w:cs="Verdana"/>
                <w:b/>
                <w:bCs/>
                <w:color w:val="ff0000"/>
                <w:sz w:val="20"/>
              </w:rPr>
              <w:t xml:space="preserve">Easter Monday</w:t>
            </w:r>
            <w:r>
              <w:rPr>
                <w:rFonts w:ascii="Verdana" w:hAnsi="Verdana" w:cs="Verdana"/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98" w:type="dxa"/>
            <w:vAlign w:val="center"/>
            <w:textDirection w:val="lrTb"/>
            <w:noWrap w:val="false"/>
          </w:tcPr>
          <w:p>
            <w:pPr>
              <w:pStyle w:val="664"/>
              <w:pBdr/>
              <w:spacing/>
              <w:ind/>
              <w:rPr>
                <w:rFonts w:ascii="Verdana" w:hAnsi="Verdana" w:cs="Verdana"/>
                <w:color w:val="000000"/>
                <w:sz w:val="20"/>
              </w:rPr>
            </w:pPr>
            <w:r>
              <w:rPr>
                <w:rFonts w:ascii="Verdana" w:hAnsi="Verdana" w:cs="Verdana"/>
                <w:b/>
                <w:bCs/>
                <w:color w:val="ff0000"/>
                <w:sz w:val="20"/>
              </w:rPr>
              <w:t xml:space="preserve"> </w:t>
            </w:r>
            <w:r>
              <w:rPr>
                <w:rFonts w:ascii="Verdana" w:hAnsi="Verdana" w:cs="Verdana"/>
                <w:b/>
                <w:bCs/>
                <w:color w:val="ff0000"/>
                <w:sz w:val="20"/>
              </w:rPr>
              <w:t xml:space="preserve">April 2</w:t>
            </w:r>
            <w:r>
              <w:rPr>
                <w:rFonts w:ascii="Verdana" w:hAnsi="Verdana" w:cs="Verdana"/>
                <w:color w:val="000000"/>
                <w:sz w:val="20"/>
              </w:rPr>
            </w:r>
          </w:p>
        </w:tc>
      </w:tr>
      <w:tr>
        <w:trPr>
          <w:trHeight w:val="40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5" w:type="dxa"/>
            <w:vAlign w:val="center"/>
            <w:textDirection w:val="lrTb"/>
            <w:noWrap w:val="false"/>
          </w:tcPr>
          <w:p>
            <w:pPr>
              <w:pStyle w:val="664"/>
              <w:pBdr/>
              <w:spacing/>
              <w:ind/>
              <w:rPr>
                <w:rFonts w:ascii="Verdana" w:hAnsi="Verdana" w:cs="Verdana"/>
                <w:color w:val="000000"/>
                <w:sz w:val="20"/>
              </w:rPr>
            </w:pPr>
            <w:r>
              <w:rPr>
                <w:rFonts w:ascii="Verdana" w:hAnsi="Verdana" w:cs="Verdana"/>
                <w:b/>
                <w:bCs/>
                <w:color w:val="ff0000"/>
                <w:sz w:val="20"/>
              </w:rPr>
              <w:t xml:space="preserve"> </w:t>
            </w:r>
            <w:r>
              <w:rPr>
                <w:rFonts w:ascii="Verdana" w:hAnsi="Verdana" w:cs="Verdana"/>
                <w:b/>
                <w:bCs/>
                <w:color w:val="ff0000"/>
                <w:sz w:val="20"/>
              </w:rPr>
              <w:t xml:space="preserve">Early May Bank Holiday</w:t>
            </w:r>
            <w:r>
              <w:rPr>
                <w:rFonts w:ascii="Verdana" w:hAnsi="Verdana" w:cs="Verdana"/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98" w:type="dxa"/>
            <w:vAlign w:val="center"/>
            <w:textDirection w:val="lrTb"/>
            <w:noWrap w:val="false"/>
          </w:tcPr>
          <w:p>
            <w:pPr>
              <w:pStyle w:val="664"/>
              <w:pBdr/>
              <w:spacing/>
              <w:ind/>
              <w:rPr>
                <w:rFonts w:ascii="Verdana" w:hAnsi="Verdana" w:cs="Verdana"/>
                <w:color w:val="000000"/>
                <w:sz w:val="20"/>
              </w:rPr>
            </w:pPr>
            <w:r>
              <w:rPr>
                <w:rFonts w:ascii="Verdana" w:hAnsi="Verdana" w:cs="Verdana"/>
                <w:b/>
                <w:bCs/>
                <w:color w:val="ff0000"/>
                <w:sz w:val="20"/>
              </w:rPr>
              <w:t xml:space="preserve"> </w:t>
            </w:r>
            <w:r>
              <w:rPr>
                <w:rFonts w:ascii="Verdana" w:hAnsi="Verdana" w:cs="Verdana"/>
                <w:b/>
                <w:bCs/>
                <w:color w:val="ff0000"/>
                <w:sz w:val="20"/>
              </w:rPr>
              <w:t xml:space="preserve">May 7</w:t>
            </w:r>
            <w:r>
              <w:rPr>
                <w:rFonts w:ascii="Verdana" w:hAnsi="Verdana" w:cs="Verdana"/>
                <w:color w:val="000000"/>
                <w:sz w:val="20"/>
              </w:rPr>
            </w:r>
          </w:p>
        </w:tc>
      </w:tr>
      <w:tr>
        <w:trPr>
          <w:trHeight w:val="40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5" w:type="dxa"/>
            <w:vAlign w:val="center"/>
            <w:textDirection w:val="lrTb"/>
            <w:noWrap w:val="false"/>
          </w:tcPr>
          <w:p>
            <w:pPr>
              <w:pStyle w:val="664"/>
              <w:pBdr/>
              <w:spacing/>
              <w:ind/>
              <w:rPr>
                <w:rFonts w:ascii="Verdana" w:hAnsi="Verdana" w:cs="Verdana"/>
                <w:color w:val="000000"/>
                <w:sz w:val="20"/>
              </w:rPr>
            </w:pPr>
            <w:r>
              <w:rPr>
                <w:rFonts w:ascii="Verdana" w:hAnsi="Verdana" w:cs="Verdana"/>
                <w:b/>
                <w:bCs/>
                <w:color w:val="ff0000"/>
                <w:sz w:val="20"/>
              </w:rPr>
              <w:t xml:space="preserve"> </w:t>
            </w:r>
            <w:r>
              <w:rPr>
                <w:rFonts w:ascii="Verdana" w:hAnsi="Verdana" w:cs="Verdana"/>
                <w:b/>
                <w:bCs/>
                <w:color w:val="ff0000"/>
                <w:sz w:val="20"/>
              </w:rPr>
              <w:t xml:space="preserve">Spring Bank Holiday</w:t>
            </w:r>
            <w:r>
              <w:rPr>
                <w:rFonts w:ascii="Verdana" w:hAnsi="Verdana" w:cs="Verdana"/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98" w:type="dxa"/>
            <w:vAlign w:val="center"/>
            <w:textDirection w:val="lrTb"/>
            <w:noWrap w:val="false"/>
          </w:tcPr>
          <w:p>
            <w:pPr>
              <w:pStyle w:val="664"/>
              <w:pBdr/>
              <w:spacing/>
              <w:ind/>
              <w:rPr>
                <w:rFonts w:ascii="Verdana" w:hAnsi="Verdana" w:cs="Verdana"/>
                <w:color w:val="000000"/>
                <w:sz w:val="20"/>
              </w:rPr>
            </w:pPr>
            <w:r>
              <w:rPr>
                <w:rFonts w:ascii="Verdana" w:hAnsi="Verdana" w:cs="Verdana"/>
                <w:b/>
                <w:bCs/>
                <w:color w:val="ff0000"/>
                <w:sz w:val="20"/>
              </w:rPr>
              <w:t xml:space="preserve"> </w:t>
            </w:r>
            <w:r>
              <w:rPr>
                <w:rFonts w:ascii="Verdana" w:hAnsi="Verdana" w:cs="Verdana"/>
                <w:b/>
                <w:bCs/>
                <w:color w:val="ff0000"/>
                <w:sz w:val="20"/>
              </w:rPr>
              <w:t xml:space="preserve">May 28</w:t>
            </w:r>
            <w:r>
              <w:rPr>
                <w:rFonts w:ascii="Verdana" w:hAnsi="Verdana" w:cs="Verdana"/>
                <w:color w:val="000000"/>
                <w:sz w:val="20"/>
              </w:rPr>
            </w:r>
          </w:p>
        </w:tc>
      </w:tr>
      <w:tr>
        <w:trPr>
          <w:trHeight w:val="40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5" w:type="dxa"/>
            <w:vAlign w:val="center"/>
            <w:textDirection w:val="lrTb"/>
            <w:noWrap w:val="false"/>
          </w:tcPr>
          <w:p>
            <w:pPr>
              <w:pStyle w:val="664"/>
              <w:pBdr/>
              <w:spacing/>
              <w:ind/>
              <w:rPr>
                <w:rFonts w:ascii="Verdana" w:hAnsi="Verdana" w:cs="Verdana"/>
                <w:color w:val="000000"/>
                <w:sz w:val="20"/>
              </w:rPr>
            </w:pPr>
            <w:r>
              <w:rPr>
                <w:rFonts w:ascii="Verdana" w:hAnsi="Verdana" w:cs="Verdana"/>
                <w:b/>
                <w:bCs/>
                <w:color w:val="ff0000"/>
                <w:sz w:val="20"/>
              </w:rPr>
              <w:t xml:space="preserve"> </w:t>
            </w:r>
            <w:r>
              <w:rPr>
                <w:rFonts w:ascii="Verdana" w:hAnsi="Verdana" w:cs="Verdana"/>
                <w:b/>
                <w:bCs/>
                <w:color w:val="ff0000"/>
                <w:sz w:val="20"/>
              </w:rPr>
              <w:t xml:space="preserve">Summer Bank Holiday</w:t>
            </w:r>
            <w:r>
              <w:rPr>
                <w:rFonts w:ascii="Verdana" w:hAnsi="Verdana" w:cs="Verdana"/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98" w:type="dxa"/>
            <w:vAlign w:val="center"/>
            <w:textDirection w:val="lrTb"/>
            <w:noWrap w:val="false"/>
          </w:tcPr>
          <w:p>
            <w:pPr>
              <w:pStyle w:val="664"/>
              <w:pBdr/>
              <w:spacing/>
              <w:ind/>
              <w:rPr>
                <w:rFonts w:ascii="Verdana" w:hAnsi="Verdana" w:cs="Verdana"/>
                <w:color w:val="000000"/>
                <w:sz w:val="20"/>
              </w:rPr>
            </w:pPr>
            <w:r>
              <w:rPr>
                <w:rFonts w:ascii="Verdana" w:hAnsi="Verdana" w:cs="Verdana"/>
                <w:b/>
                <w:bCs/>
                <w:color w:val="ff0000"/>
                <w:sz w:val="20"/>
              </w:rPr>
              <w:t xml:space="preserve"> </w:t>
            </w:r>
            <w:r>
              <w:rPr>
                <w:rFonts w:ascii="Verdana" w:hAnsi="Verdana" w:cs="Verdana"/>
                <w:b/>
                <w:bCs/>
                <w:color w:val="ff0000"/>
                <w:sz w:val="20"/>
              </w:rPr>
              <w:t xml:space="preserve">August 27</w:t>
            </w:r>
            <w:r>
              <w:rPr>
                <w:rFonts w:ascii="Verdana" w:hAnsi="Verdana" w:cs="Verdana"/>
                <w:color w:val="000000"/>
                <w:sz w:val="20"/>
              </w:rPr>
            </w:r>
          </w:p>
        </w:tc>
      </w:tr>
      <w:tr>
        <w:trPr>
          <w:trHeight w:val="40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5" w:type="dxa"/>
            <w:vAlign w:val="center"/>
            <w:textDirection w:val="lrTb"/>
            <w:noWrap w:val="false"/>
          </w:tcPr>
          <w:p>
            <w:pPr>
              <w:pStyle w:val="664"/>
              <w:pBdr/>
              <w:spacing/>
              <w:ind/>
              <w:rPr>
                <w:rFonts w:ascii="Verdana" w:hAnsi="Verdana" w:cs="Verdana"/>
                <w:color w:val="000000"/>
                <w:sz w:val="20"/>
              </w:rPr>
            </w:pPr>
            <w:r>
              <w:rPr>
                <w:rFonts w:ascii="Verdana" w:hAnsi="Verdana" w:cs="Verdana"/>
                <w:b/>
                <w:bCs/>
                <w:color w:val="ff0000"/>
                <w:sz w:val="20"/>
              </w:rPr>
              <w:t xml:space="preserve"> </w:t>
            </w:r>
            <w:r>
              <w:rPr>
                <w:rFonts w:ascii="Verdana" w:hAnsi="Verdana" w:cs="Verdana"/>
                <w:b/>
                <w:bCs/>
                <w:color w:val="ff0000"/>
                <w:sz w:val="20"/>
              </w:rPr>
              <w:t xml:space="preserve">Christmas Day</w:t>
            </w:r>
            <w:r>
              <w:rPr>
                <w:rFonts w:ascii="Verdana" w:hAnsi="Verdana" w:cs="Verdana"/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98" w:type="dxa"/>
            <w:vAlign w:val="center"/>
            <w:textDirection w:val="lrTb"/>
            <w:noWrap w:val="false"/>
          </w:tcPr>
          <w:p>
            <w:pPr>
              <w:pStyle w:val="664"/>
              <w:pBdr/>
              <w:spacing/>
              <w:ind/>
              <w:rPr>
                <w:rFonts w:ascii="Verdana" w:hAnsi="Verdana" w:cs="Verdana"/>
                <w:color w:val="000000"/>
                <w:sz w:val="20"/>
              </w:rPr>
            </w:pPr>
            <w:r>
              <w:rPr>
                <w:rFonts w:ascii="Verdana" w:hAnsi="Verdana" w:cs="Verdana"/>
                <w:b/>
                <w:bCs/>
                <w:color w:val="ff0000"/>
                <w:sz w:val="20"/>
              </w:rPr>
              <w:t xml:space="preserve"> </w:t>
            </w:r>
            <w:r>
              <w:rPr>
                <w:rFonts w:ascii="Verdana" w:hAnsi="Verdana" w:cs="Verdana"/>
                <w:b/>
                <w:bCs/>
                <w:color w:val="ff0000"/>
                <w:sz w:val="20"/>
              </w:rPr>
              <w:t xml:space="preserve">December 25</w:t>
            </w:r>
            <w:r>
              <w:rPr>
                <w:rFonts w:ascii="Verdana" w:hAnsi="Verdana" w:cs="Verdana"/>
                <w:color w:val="000000"/>
                <w:sz w:val="20"/>
              </w:rPr>
            </w:r>
          </w:p>
        </w:tc>
      </w:tr>
      <w:tr>
        <w:trPr>
          <w:trHeight w:val="40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5" w:type="dxa"/>
            <w:vAlign w:val="center"/>
            <w:textDirection w:val="lrTb"/>
            <w:noWrap w:val="false"/>
          </w:tcPr>
          <w:p>
            <w:pPr>
              <w:pStyle w:val="664"/>
              <w:pBdr/>
              <w:spacing/>
              <w:ind/>
              <w:rPr>
                <w:rFonts w:ascii="Verdana" w:hAnsi="Verdana" w:cs="Verdana"/>
                <w:color w:val="000000"/>
                <w:sz w:val="20"/>
              </w:rPr>
            </w:pPr>
            <w:r>
              <w:rPr>
                <w:rFonts w:ascii="Verdana" w:hAnsi="Verdana" w:cs="Verdana"/>
                <w:b/>
                <w:bCs/>
                <w:color w:val="ff0000"/>
                <w:sz w:val="20"/>
              </w:rPr>
              <w:t xml:space="preserve"> </w:t>
            </w:r>
            <w:r>
              <w:rPr>
                <w:rFonts w:ascii="Verdana" w:hAnsi="Verdana" w:cs="Verdana"/>
                <w:b/>
                <w:bCs/>
                <w:color w:val="ff0000"/>
                <w:sz w:val="20"/>
              </w:rPr>
              <w:t xml:space="preserve">Boxing Day</w:t>
            </w:r>
            <w:r>
              <w:rPr>
                <w:rFonts w:ascii="Verdana" w:hAnsi="Verdana" w:cs="Verdana"/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98" w:type="dxa"/>
            <w:vAlign w:val="center"/>
            <w:textDirection w:val="lrTb"/>
            <w:noWrap w:val="false"/>
          </w:tcPr>
          <w:p>
            <w:pPr>
              <w:pStyle w:val="664"/>
              <w:pBdr/>
              <w:spacing/>
              <w:ind/>
              <w:rPr>
                <w:rFonts w:ascii="Verdana" w:hAnsi="Verdana" w:cs="Verdana"/>
                <w:color w:val="000000"/>
                <w:sz w:val="20"/>
              </w:rPr>
            </w:pPr>
            <w:r>
              <w:rPr>
                <w:rFonts w:ascii="Verdana" w:hAnsi="Verdana" w:cs="Verdana"/>
                <w:b/>
                <w:bCs/>
                <w:color w:val="ff0000"/>
                <w:sz w:val="20"/>
              </w:rPr>
              <w:t xml:space="preserve"> </w:t>
            </w:r>
            <w:r>
              <w:rPr>
                <w:rFonts w:ascii="Verdana" w:hAnsi="Verdana" w:cs="Verdana"/>
                <w:b/>
                <w:bCs/>
                <w:color w:val="ff0000"/>
                <w:sz w:val="20"/>
              </w:rPr>
              <w:t xml:space="preserve">December 26</w:t>
            </w:r>
            <w:r>
              <w:rPr>
                <w:rFonts w:ascii="Verdana" w:hAnsi="Verdana" w:cs="Verdana"/>
                <w:color w:val="000000"/>
                <w:sz w:val="20"/>
              </w:rPr>
            </w:r>
          </w:p>
        </w:tc>
      </w:tr>
    </w:tbl>
    <w:p>
      <w:pPr>
        <w:pStyle w:val="664"/>
        <w:pBdr/>
        <w:spacing/>
        <w:ind/>
        <w:rPr/>
      </w:pPr>
      <w:r/>
      <w:r/>
    </w:p>
    <w:p>
      <w:pPr>
        <w:pStyle w:val="664"/>
        <w:pBdr/>
        <w:spacing/>
        <w:ind/>
        <w:rPr/>
      </w:pPr>
      <w:r/>
      <w:r/>
    </w:p>
    <w:p>
      <w:pPr>
        <w:pStyle w:val="664"/>
        <w:pBdr/>
        <w:spacing/>
        <w:ind/>
        <w:rPr/>
      </w:pPr>
      <w:r/>
      <w:r/>
    </w:p>
    <w:p>
      <w:pPr>
        <w:pStyle w:val="664"/>
        <w:pBdr/>
        <w:spacing/>
        <w:ind/>
        <w:rPr/>
      </w:pPr>
      <w:r/>
      <w:r/>
    </w:p>
    <w:p>
      <w:pPr>
        <w:pStyle w:val="664"/>
        <w:pBdr/>
        <w:spacing/>
        <w:ind/>
        <w:rPr/>
      </w:pPr>
      <w:r/>
      <w:r/>
    </w:p>
    <w:p>
      <w:pPr>
        <w:pStyle w:val="664"/>
        <w:pBdr/>
        <w:spacing/>
        <w:ind/>
        <w:rPr/>
      </w:pPr>
      <w:r/>
      <w:r/>
    </w:p>
    <w:p>
      <w:pPr>
        <w:pStyle w:val="664"/>
        <w:pBdr/>
        <w:spacing/>
        <w:ind/>
        <w:rPr/>
      </w:pPr>
      <w:r/>
      <w:r/>
    </w:p>
    <w:p>
      <w:pPr>
        <w:pStyle w:val="664"/>
        <w:pBdr/>
        <w:spacing/>
        <w:ind/>
        <w:rPr/>
      </w:pPr>
      <w:r/>
      <w:r/>
    </w:p>
    <w:p>
      <w:pPr>
        <w:pStyle w:val="664"/>
        <w:pBdr/>
        <w:spacing/>
        <w:ind/>
        <w:rPr/>
      </w:pPr>
      <w:r/>
      <w:r/>
    </w:p>
    <w:p>
      <w:pPr>
        <w:pStyle w:val="664"/>
        <w:pBdr/>
        <w:spacing/>
        <w:ind/>
        <w:rPr/>
      </w:pPr>
      <w:r/>
      <w:r/>
    </w:p>
    <w:p>
      <w:pPr>
        <w:pStyle w:val="664"/>
        <w:pBdr/>
        <w:spacing/>
        <w:ind/>
        <w:rPr/>
      </w:pPr>
      <w:r/>
      <w:r/>
    </w:p>
    <w:p>
      <w:pPr>
        <w:pStyle w:val="664"/>
        <w:pBdr/>
        <w:spacing/>
        <w:ind/>
        <w:rPr/>
      </w:pPr>
      <w:r/>
      <w:r/>
    </w:p>
    <w:p>
      <w:pPr>
        <w:pStyle w:val="664"/>
        <w:pBdr/>
        <w:spacing/>
        <w:ind/>
        <w:rPr/>
      </w:pPr>
      <w:r/>
      <w:r/>
    </w:p>
    <w:p>
      <w:pPr>
        <w:pStyle w:val="664"/>
        <w:pBdr/>
        <w:spacing/>
        <w:ind/>
        <w:rPr/>
      </w:pPr>
      <w:r/>
      <w:r/>
    </w:p>
    <w:p>
      <w:pPr>
        <w:pStyle w:val="664"/>
        <w:pBdr/>
        <w:spacing/>
        <w:ind/>
        <w:rPr/>
      </w:pPr>
      <w:r/>
      <w:r/>
    </w:p>
    <w:p>
      <w:pPr>
        <w:pStyle w:val="664"/>
        <w:pBdr/>
        <w:spacing/>
        <w:ind/>
        <w:rPr/>
      </w:pPr>
      <w:r/>
      <w:r/>
    </w:p>
    <w:p>
      <w:pPr>
        <w:pStyle w:val="664"/>
        <w:pBdr/>
        <w:spacing/>
        <w:ind/>
        <w:rPr/>
      </w:pPr>
      <w:r/>
      <w:r/>
    </w:p>
    <w:p>
      <w:pPr>
        <w:pStyle w:val="664"/>
        <w:pBdr/>
        <w:spacing/>
        <w:ind/>
        <w:rPr/>
      </w:pPr>
      <w:r/>
      <w:r/>
    </w:p>
    <w:p>
      <w:pPr>
        <w:pStyle w:val="664"/>
        <w:pBdr/>
        <w:spacing/>
        <w:ind/>
        <w:rPr/>
      </w:pPr>
      <w:r/>
      <w:r/>
    </w:p>
    <w:p>
      <w:pPr>
        <w:pStyle w:val="664"/>
        <w:pBdr/>
        <w:spacing/>
        <w:ind/>
        <w:rPr/>
      </w:pPr>
      <w:r/>
      <w:r/>
    </w:p>
    <w:p>
      <w:pPr>
        <w:pStyle w:val="664"/>
        <w:pBdr/>
        <w:spacing/>
        <w:ind/>
        <w:rPr/>
      </w:pPr>
      <w:r/>
      <w:r/>
    </w:p>
    <w:p>
      <w:pPr>
        <w:pStyle w:val="664"/>
        <w:pBdr/>
        <w:spacing/>
        <w:ind/>
        <w:rPr/>
      </w:pPr>
      <w:r/>
      <w:r/>
    </w:p>
    <w:p>
      <w:pPr>
        <w:pStyle w:val="664"/>
        <w:pBdr/>
        <w:spacing/>
        <w:ind/>
        <w:rPr/>
      </w:pPr>
      <w:r/>
      <w:r/>
    </w:p>
    <w:p>
      <w:pPr>
        <w:pStyle w:val="664"/>
        <w:pBdr/>
        <w:spacing/>
        <w:ind/>
        <w:rPr/>
      </w:pPr>
      <w:r/>
      <w:r/>
    </w:p>
    <w:p>
      <w:pPr>
        <w:pStyle w:val="664"/>
        <w:pBdr/>
        <w:spacing/>
        <w:ind/>
        <w:rPr/>
      </w:pPr>
      <w:r/>
      <w:r/>
    </w:p>
    <w:p>
      <w:pPr>
        <w:pStyle w:val="664"/>
        <w:pBdr/>
        <w:spacing/>
        <w:ind/>
        <w:rPr/>
      </w:pPr>
      <w:r/>
      <w:r/>
    </w:p>
    <w:p>
      <w:pPr>
        <w:pStyle w:val="664"/>
        <w:pBdr/>
        <w:spacing/>
        <w:ind/>
        <w:rPr/>
      </w:pPr>
      <w:r/>
      <w:r/>
    </w:p>
    <w:p>
      <w:pPr>
        <w:pStyle w:val="664"/>
        <w:pBdr/>
        <w:spacing/>
        <w:ind/>
        <w:rPr/>
      </w:pPr>
      <w:r/>
      <w:r/>
    </w:p>
    <w:p>
      <w:pPr>
        <w:pStyle w:val="664"/>
        <w:pBdr/>
        <w:spacing/>
        <w:ind/>
        <w:jc w:val="center"/>
        <w:rPr>
          <w:rStyle w:val="667"/>
          <w:color w:val="000000"/>
          <w:u w:val="none"/>
        </w:rPr>
      </w:pPr>
      <w:r/>
      <w:hyperlink r:id="rId8" w:tooltip="http://www.year-planner-calendar.wanadoo.co.uk/2040-public-holidays-bank-holiday-dates.htm" w:history="1">
        <w:r>
          <w:rPr>
            <w:rStyle w:val="667"/>
            <w:rFonts w:ascii="Verdana" w:hAnsi="Verdana" w:cs="Verdana"/>
            <w:color w:val="000000"/>
            <w:sz w:val="16"/>
            <w:szCs w:val="16"/>
            <w:u w:val="none"/>
          </w:rPr>
          <w:t xml:space="preserve">2040 Bank Holidays in England and Wales</w:t>
        </w:r>
      </w:hyperlink>
      <w:r/>
      <w:r>
        <w:rPr>
          <w:rStyle w:val="667"/>
          <w:color w:val="000000"/>
          <w:u w:val="none"/>
        </w:rPr>
      </w:r>
    </w:p>
    <w:p>
      <w:pPr>
        <w:pStyle w:val="664"/>
        <w:pBdr/>
        <w:spacing/>
        <w:ind/>
        <w:jc w:val="center"/>
        <w:rPr/>
      </w:pPr>
      <w:r/>
      <w:hyperlink r:id="rId9" w:tooltip="http://www.year-planner-calendar.co.uk/" w:history="1">
        <w:r>
          <w:rPr>
            <w:rStyle w:val="667"/>
            <w:rFonts w:ascii="Verdana" w:hAnsi="Verdana" w:cs="Verdana"/>
            <w:sz w:val="16"/>
            <w:szCs w:val="16"/>
            <w:u w:val="none"/>
          </w:rPr>
          <w:t xml:space="preserve">http://www.year-planner-calendar.co.uk</w:t>
        </w:r>
      </w:hyperlink>
      <w:r/>
      <w:r/>
    </w:p>
    <w:sectPr>
      <w:footnotePr/>
      <w:endnotePr/>
      <w:type w:val="nextPage"/>
      <w:pgSz w:h="15840" w:orient="portrait" w:w="12240"/>
      <w:pgMar w:top="1440" w:right="1800" w:bottom="1440" w:left="1800" w:header="0" w:footer="0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</w:font>
  <w:font w:name="Microsoft YaHei">
    <w:panose1 w:val="020B0503020204020204"/>
  </w:font>
  <w:font w:name="Times New Roman">
    <w:panose1 w:val="02020603050405020304"/>
  </w:font>
  <w:font w:name="Arial">
    <w:panose1 w:val="020B0604020202020204"/>
  </w:font>
  <w:font w:name="NSimSun">
    <w:panose1 w:val="02010609030101010101"/>
  </w:font>
  <w:font w:name="Liberation Sans">
    <w:panose1 w:val="020B0604020202020204"/>
  </w:font>
  <w:font w:name="Lucida Sans">
    <w:panose1 w:val="020B0602030504020204"/>
  </w:font>
  <w:font w:name="Liberation Serif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autoHyphenation w:val="true"/>
  <w:hyphenationZone w:val="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Liberation Serif" w:hAnsi="Liberation Serif" w:eastAsia="NSimSun" w:cs="Lucida Sans"/>
        <w:sz w:val="24"/>
        <w:szCs w:val="24"/>
        <w:lang w:val="en-GB" w:eastAsia="zh-CN" w:bidi="hi-IN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1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Table Grid Light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c3feba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c3feba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bde6fe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bde6fe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ed3ba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ed3ba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5bafe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5bafe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ff1c0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ff1c0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8cecd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8cecd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c3feba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c3feba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bde6fe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bde6fe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ed3ba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ed3ba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5bafe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5bafe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ff1c0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ff1c0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8cecd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8cecd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c5febd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c5febd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cbf04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bde6fe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bde6fe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37b4fb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ed3ba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ed3ba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43f03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5bafe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5bafe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e133fb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ff1c0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ff1c0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c99c00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8cecd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8cecd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c9211e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c3feba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78fc6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78fc6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8a303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8a303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8a303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8a303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bde6fe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64c5f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64c5f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0369a3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0369a3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0369a3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0369a3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fed3ba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fc9c64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fc9c64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33e03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33e03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33e03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33e03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5bafe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e864fc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e864fc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e03a3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e03a3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e03a3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e03a3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fff1c0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ffdf71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ffdf71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c99c00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c99c00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c99c00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c99c00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8cecd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ee9190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ee9190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c9211e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c9211e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c9211e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c9211e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c3feba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c3feba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1cc204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1cc204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1cc204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1cc204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bde6fe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bde6fe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371b0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371b0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0371b0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371b0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ed3ba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fed3ba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2502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2502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2502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2502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5bafe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5bafe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703ad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703ad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9703ad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703ad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ff1c0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fff1c0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5b00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5b00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755b00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5b00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8cecd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8cecd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5b00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5b00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755b00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5b00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1cc204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c3feba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c3feba" w:themeFill="accent1" w:themeFillTint="34"/>
        <w:tcBorders/>
      </w:tcPr>
    </w:tblStylePr>
    <w:tblStylePr w:type="band2Horz">
      <w:rPr>
        <w:rFonts w:ascii="Arial" w:hAnsi="Arial"/>
        <w:color w:val="1cc204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1cc204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1cc204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1cc204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1cc204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0371b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bde6fe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bde6fe" w:themeFill="accent2" w:themeFillTint="32"/>
        <w:tcBorders/>
      </w:tcPr>
    </w:tblStylePr>
    <w:tblStylePr w:type="band2Horz">
      <w:rPr>
        <w:rFonts w:ascii="Arial" w:hAnsi="Arial"/>
        <w:color w:val="0371b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0371b0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0371b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0371b0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0371b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2502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ed3ba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fed3ba" w:themeFill="accent3" w:themeFillTint="34"/>
        <w:tcBorders/>
      </w:tcPr>
    </w:tblStylePr>
    <w:tblStylePr w:type="band2Horz">
      <w:rPr>
        <w:rFonts w:ascii="Arial" w:hAnsi="Arial"/>
        <w:color w:val="602502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2502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2502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2502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2502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9703ad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5bafe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5bafe" w:themeFill="accent4" w:themeFillTint="34"/>
        <w:tcBorders/>
      </w:tcPr>
    </w:tblStylePr>
    <w:tblStylePr w:type="band2Horz">
      <w:rPr>
        <w:rFonts w:ascii="Arial" w:hAnsi="Arial"/>
        <w:color w:val="9703ad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703ad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9703ad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9703ad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703ad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755b0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ff1c0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fff1c0" w:themeFill="accent5" w:themeFillTint="34"/>
        <w:tcBorders/>
      </w:tcPr>
    </w:tblStylePr>
    <w:tblStylePr w:type="band2Horz">
      <w:rPr>
        <w:rFonts w:ascii="Arial" w:hAnsi="Arial"/>
        <w:color w:val="755b0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5b00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755b0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755b00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755b0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751312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8cecd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8cecd" w:themeFill="accent6" w:themeFillTint="34"/>
        <w:tcBorders/>
      </w:tcPr>
    </w:tblStylePr>
    <w:tblStylePr w:type="band2Horz">
      <w:rPr>
        <w:rFonts w:ascii="Arial" w:hAnsi="Arial"/>
        <w:color w:val="751312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1312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751312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751312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751312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b5fdaa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b5fdaa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aadffd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aadffd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fdc9aa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fdc9aa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3aafd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3aafd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ffeeb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ffeeb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6c3c2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6c3c2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5fdaa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5fdaa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aadffd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aadffd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fdc9aa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fdc9aa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3aafd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3aafd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ffeeb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ffeeb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6c3c2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6c3c2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8a303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37b4fb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fb7f36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e133fb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ffd544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e9706e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5fdaa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5fdaa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8a303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aadffd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aadffd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0369a3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fdc9aa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fdc9aa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33e03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3aafd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3aafd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e03a3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ffeeb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ffeeb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c99c00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6c3c2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6c3c2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c9211e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18a303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18a303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18a303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18a303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8a303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37b4fb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37b4fb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37b4fb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37b4fb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37b4fb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fb7f36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fb7f36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fb7f36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fb7f36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fb7f36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e133fb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e133fb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e133fb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e133fb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e133fb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ffd544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ffd544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ffd544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ffd544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ffd544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e9706e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e9706e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e9706e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e9706e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e9706e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5fdaa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b5fdaa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e5f0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e5f0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0e5f0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e5f0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aadffd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aadffd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371b0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371b0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0371b0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371b0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fdc9aa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fdc9aa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f4303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f4303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af4303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f4303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3aafd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3aafd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703ad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703ad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9703ad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703ad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ffeeb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ffeeb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d930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d930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bd930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d930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6c3c2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6c3c2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f1d1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f1d1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af1d1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f1d1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0e5f0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5fdaa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b5fdaa" w:themeFill="accent1" w:themeFillTint="40"/>
        <w:tcBorders/>
      </w:tcPr>
    </w:tblStylePr>
    <w:tblStylePr w:type="band2Horz">
      <w:rPr>
        <w:rFonts w:ascii="Arial" w:hAnsi="Arial"/>
        <w:color w:val="0e5f0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0e5f0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0e5f0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0e5f0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0e5f0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0e5f0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0371b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aadffd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aadffd" w:themeFill="accent2" w:themeFillTint="40"/>
        <w:tcBorders/>
      </w:tcPr>
    </w:tblStylePr>
    <w:tblStylePr w:type="band2Horz">
      <w:rPr>
        <w:rFonts w:ascii="Arial" w:hAnsi="Arial"/>
        <w:color w:val="0371b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0371b0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0371b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0371b0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0371b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0371b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af4303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fdc9aa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fdc9aa" w:themeFill="accent3" w:themeFillTint="40"/>
        <w:tcBorders/>
      </w:tcPr>
    </w:tblStylePr>
    <w:tblStylePr w:type="band2Horz">
      <w:rPr>
        <w:rFonts w:ascii="Arial" w:hAnsi="Arial"/>
        <w:color w:val="af4303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f4303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af4303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af4303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af4303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af4303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9703ad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3aafd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3aafd" w:themeFill="accent4" w:themeFillTint="40"/>
        <w:tcBorders/>
      </w:tcPr>
    </w:tblStylePr>
    <w:tblStylePr w:type="band2Horz">
      <w:rPr>
        <w:rFonts w:ascii="Arial" w:hAnsi="Arial"/>
        <w:color w:val="9703ad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703ad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9703ad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9703ad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703ad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703ad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bd930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ffeeb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ffeeb1" w:themeFill="accent5" w:themeFillTint="40"/>
        <w:tcBorders/>
      </w:tcPr>
    </w:tblStylePr>
    <w:tblStylePr w:type="band2Horz">
      <w:rPr>
        <w:rFonts w:ascii="Arial" w:hAnsi="Arial"/>
        <w:color w:val="bd930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d930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bd930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bd930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bd930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bd930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af1d1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6c3c2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6c3c2" w:themeFill="accent6" w:themeFillTint="40"/>
        <w:tcBorders/>
      </w:tcPr>
    </w:tblStylePr>
    <w:tblStylePr w:type="band2Horz">
      <w:rPr>
        <w:rFonts w:ascii="Arial" w:hAnsi="Arial"/>
        <w:color w:val="af1d1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f1d1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af1d1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af1d1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af1d1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af1d1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a3fd95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a3fd95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cbf04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cbf04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cbf04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cbf04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bde6fe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bde6fe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37b4fb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37b4fb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37b4fb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37b4fb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ed3ba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ed3ba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43f03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43f03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43f03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43f03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5bafe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5bafe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e133fb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e133fb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e133fb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e133fb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ff1c0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ff1c0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c99c00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c99c00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c99c00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c99c00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8cecd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8cecd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c9211e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c9211e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c9211e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c9211e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a3fd95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a3fd95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cbf04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cbf04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cbf04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cbf04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bde6fe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bde6fe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37b4fb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37b4fb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37b4fb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37b4fb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ed3ba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ed3ba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43f03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43f03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43f03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43f03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5bafe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5bafe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e133fb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e133fb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e133fb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e133fb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ff1c0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ff1c0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c99c00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c99c00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c99c00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c99c00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8cecd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8cecd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c9211e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c9211e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c9211e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c9211e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9">
    <w:name w:val="Heading 1"/>
    <w:basedOn w:val="664"/>
    <w:next w:val="664"/>
    <w:link w:val="150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40">
    <w:name w:val="Heading 2"/>
    <w:basedOn w:val="664"/>
    <w:next w:val="664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1">
    <w:name w:val="Heading 3"/>
    <w:basedOn w:val="664"/>
    <w:next w:val="664"/>
    <w:link w:val="15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2">
    <w:name w:val="Heading 4"/>
    <w:basedOn w:val="664"/>
    <w:next w:val="664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3">
    <w:name w:val="Heading 5"/>
    <w:basedOn w:val="664"/>
    <w:next w:val="664"/>
    <w:link w:val="15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4">
    <w:name w:val="Heading 6"/>
    <w:basedOn w:val="664"/>
    <w:next w:val="664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5">
    <w:name w:val="Heading 7"/>
    <w:basedOn w:val="664"/>
    <w:next w:val="664"/>
    <w:link w:val="15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6">
    <w:name w:val="Heading 8"/>
    <w:basedOn w:val="664"/>
    <w:next w:val="664"/>
    <w:link w:val="15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7">
    <w:name w:val="Heading 9"/>
    <w:basedOn w:val="664"/>
    <w:next w:val="664"/>
    <w:link w:val="15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numbering" w:styleId="149" w:default="1">
    <w:name w:val="No List"/>
    <w:uiPriority w:val="99"/>
    <w:semiHidden/>
    <w:unhideWhenUsed/>
    <w:pPr>
      <w:pBdr/>
      <w:spacing/>
      <w:ind/>
    </w:pPr>
  </w:style>
  <w:style w:type="character" w:styleId="150">
    <w:name w:val="Heading 1 Char"/>
    <w:basedOn w:val="665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665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665"/>
    <w:link w:val="14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665"/>
    <w:link w:val="14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665"/>
    <w:link w:val="14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665"/>
    <w:link w:val="14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665"/>
    <w:link w:val="14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665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665"/>
    <w:link w:val="1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9">
    <w:name w:val="Title"/>
    <w:basedOn w:val="664"/>
    <w:next w:val="664"/>
    <w:link w:val="16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60">
    <w:name w:val="Title Char"/>
    <w:basedOn w:val="665"/>
    <w:link w:val="15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1">
    <w:name w:val="Subtitle"/>
    <w:basedOn w:val="664"/>
    <w:next w:val="664"/>
    <w:link w:val="16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2">
    <w:name w:val="Subtitle Char"/>
    <w:basedOn w:val="665"/>
    <w:link w:val="16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3">
    <w:name w:val="Quote"/>
    <w:basedOn w:val="664"/>
    <w:next w:val="664"/>
    <w:link w:val="16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4">
    <w:name w:val="Quote Char"/>
    <w:basedOn w:val="665"/>
    <w:link w:val="163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65">
    <w:name w:val="List Paragraph"/>
    <w:basedOn w:val="664"/>
    <w:uiPriority w:val="34"/>
    <w:qFormat/>
    <w:pPr>
      <w:pBdr/>
      <w:spacing/>
      <w:ind w:left="720"/>
      <w:contextualSpacing w:val="true"/>
    </w:pPr>
  </w:style>
  <w:style w:type="character" w:styleId="166">
    <w:name w:val="Intense Emphasis"/>
    <w:basedOn w:val="665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7">
    <w:name w:val="Intense Quote"/>
    <w:basedOn w:val="664"/>
    <w:next w:val="664"/>
    <w:link w:val="16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8">
    <w:name w:val="Intense Quote Char"/>
    <w:basedOn w:val="665"/>
    <w:link w:val="16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665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70">
    <w:name w:val="No Spacing"/>
    <w:basedOn w:val="664"/>
    <w:uiPriority w:val="1"/>
    <w:qFormat/>
    <w:pPr>
      <w:pBdr/>
      <w:spacing w:after="0" w:line="240" w:lineRule="auto"/>
      <w:ind/>
    </w:pPr>
  </w:style>
  <w:style w:type="character" w:styleId="171">
    <w:name w:val="Subtle Emphasis"/>
    <w:basedOn w:val="665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665"/>
    <w:uiPriority w:val="20"/>
    <w:qFormat/>
    <w:pPr>
      <w:pBdr/>
      <w:spacing/>
      <w:ind/>
    </w:pPr>
    <w:rPr>
      <w:i/>
      <w:iCs/>
    </w:rPr>
  </w:style>
  <w:style w:type="character" w:styleId="174">
    <w:name w:val="Subtle Reference"/>
    <w:basedOn w:val="665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665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6">
    <w:name w:val="Header"/>
    <w:basedOn w:val="664"/>
    <w:link w:val="177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7">
    <w:name w:val="Header Char"/>
    <w:basedOn w:val="665"/>
    <w:link w:val="176"/>
    <w:uiPriority w:val="99"/>
    <w:pPr>
      <w:pBdr/>
      <w:spacing/>
      <w:ind/>
    </w:pPr>
  </w:style>
  <w:style w:type="paragraph" w:styleId="178">
    <w:name w:val="Footer"/>
    <w:basedOn w:val="664"/>
    <w:link w:val="179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9">
    <w:name w:val="Footer Char"/>
    <w:basedOn w:val="665"/>
    <w:link w:val="178"/>
    <w:uiPriority w:val="99"/>
    <w:pPr>
      <w:pBdr/>
      <w:spacing/>
      <w:ind/>
    </w:pPr>
  </w:style>
  <w:style w:type="paragraph" w:styleId="181">
    <w:name w:val="footnote text"/>
    <w:basedOn w:val="664"/>
    <w:link w:val="1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2">
    <w:name w:val="Footnote Text Char"/>
    <w:basedOn w:val="665"/>
    <w:link w:val="181"/>
    <w:uiPriority w:val="99"/>
    <w:semiHidden/>
    <w:pPr>
      <w:pBdr/>
      <w:spacing/>
      <w:ind/>
    </w:pPr>
    <w:rPr>
      <w:sz w:val="20"/>
      <w:szCs w:val="20"/>
    </w:rPr>
  </w:style>
  <w:style w:type="character" w:styleId="183">
    <w:name w:val="footnote reference"/>
    <w:basedOn w:val="665"/>
    <w:uiPriority w:val="99"/>
    <w:semiHidden/>
    <w:unhideWhenUsed/>
    <w:pPr>
      <w:pBdr/>
      <w:spacing/>
      <w:ind/>
    </w:pPr>
    <w:rPr>
      <w:vertAlign w:val="superscript"/>
    </w:rPr>
  </w:style>
  <w:style w:type="paragraph" w:styleId="184">
    <w:name w:val="endnote text"/>
    <w:basedOn w:val="664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665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665"/>
    <w:uiPriority w:val="99"/>
    <w:semiHidden/>
    <w:unhideWhenUsed/>
    <w:pPr>
      <w:pBdr/>
      <w:spacing/>
      <w:ind/>
    </w:pPr>
    <w:rPr>
      <w:vertAlign w:val="superscript"/>
    </w:rPr>
  </w:style>
  <w:style w:type="paragraph" w:styleId="189">
    <w:name w:val="toc 1"/>
    <w:basedOn w:val="664"/>
    <w:next w:val="664"/>
    <w:uiPriority w:val="39"/>
    <w:unhideWhenUsed/>
    <w:pPr>
      <w:pBdr/>
      <w:spacing w:after="100"/>
      <w:ind/>
    </w:pPr>
  </w:style>
  <w:style w:type="paragraph" w:styleId="190">
    <w:name w:val="toc 2"/>
    <w:basedOn w:val="664"/>
    <w:next w:val="664"/>
    <w:uiPriority w:val="39"/>
    <w:unhideWhenUsed/>
    <w:pPr>
      <w:pBdr/>
      <w:spacing w:after="100"/>
      <w:ind w:left="220"/>
    </w:pPr>
  </w:style>
  <w:style w:type="paragraph" w:styleId="191">
    <w:name w:val="toc 3"/>
    <w:basedOn w:val="664"/>
    <w:next w:val="664"/>
    <w:uiPriority w:val="39"/>
    <w:unhideWhenUsed/>
    <w:pPr>
      <w:pBdr/>
      <w:spacing w:after="100"/>
      <w:ind w:left="440"/>
    </w:pPr>
  </w:style>
  <w:style w:type="paragraph" w:styleId="192">
    <w:name w:val="toc 4"/>
    <w:basedOn w:val="664"/>
    <w:next w:val="664"/>
    <w:uiPriority w:val="39"/>
    <w:unhideWhenUsed/>
    <w:pPr>
      <w:pBdr/>
      <w:spacing w:after="100"/>
      <w:ind w:left="660"/>
    </w:pPr>
  </w:style>
  <w:style w:type="paragraph" w:styleId="193">
    <w:name w:val="toc 5"/>
    <w:basedOn w:val="664"/>
    <w:next w:val="664"/>
    <w:uiPriority w:val="39"/>
    <w:unhideWhenUsed/>
    <w:pPr>
      <w:pBdr/>
      <w:spacing w:after="100"/>
      <w:ind w:left="880"/>
    </w:pPr>
  </w:style>
  <w:style w:type="paragraph" w:styleId="194">
    <w:name w:val="toc 6"/>
    <w:basedOn w:val="664"/>
    <w:next w:val="664"/>
    <w:uiPriority w:val="39"/>
    <w:unhideWhenUsed/>
    <w:pPr>
      <w:pBdr/>
      <w:spacing w:after="100"/>
      <w:ind w:left="1100"/>
    </w:pPr>
  </w:style>
  <w:style w:type="paragraph" w:styleId="195">
    <w:name w:val="toc 7"/>
    <w:basedOn w:val="664"/>
    <w:next w:val="664"/>
    <w:uiPriority w:val="39"/>
    <w:unhideWhenUsed/>
    <w:pPr>
      <w:pBdr/>
      <w:spacing w:after="100"/>
      <w:ind w:left="1320"/>
    </w:pPr>
  </w:style>
  <w:style w:type="paragraph" w:styleId="196">
    <w:name w:val="toc 8"/>
    <w:basedOn w:val="664"/>
    <w:next w:val="664"/>
    <w:uiPriority w:val="39"/>
    <w:unhideWhenUsed/>
    <w:pPr>
      <w:pBdr/>
      <w:spacing w:after="100"/>
      <w:ind w:left="1540"/>
    </w:pPr>
  </w:style>
  <w:style w:type="paragraph" w:styleId="197">
    <w:name w:val="toc 9"/>
    <w:basedOn w:val="664"/>
    <w:next w:val="664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665"/>
    <w:uiPriority w:val="99"/>
    <w:semiHidden/>
    <w:pPr>
      <w:pBdr/>
      <w:spacing/>
      <w:ind/>
    </w:pPr>
    <w:rPr>
      <w:color w:val="666666"/>
    </w:r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664"/>
    <w:next w:val="664"/>
    <w:uiPriority w:val="99"/>
    <w:unhideWhenUsed/>
    <w:pPr>
      <w:pBdr/>
      <w:spacing w:after="0" w:afterAutospacing="0"/>
      <w:ind/>
    </w:pPr>
  </w:style>
  <w:style w:type="paragraph" w:styleId="664" w:default="1">
    <w:name w:val="Normal"/>
    <w:qFormat/>
    <w:pPr>
      <w:widowControl w:val="true"/>
      <w:pBdr/>
      <w:bidi w:val="false"/>
      <w:spacing/>
      <w:ind/>
    </w:pPr>
    <w:rPr>
      <w:rFonts w:ascii="Times New Roman" w:hAnsi="Times New Roman" w:eastAsia="Times New Roman" w:cs="Times New Roman"/>
      <w:color w:val="auto"/>
      <w:sz w:val="24"/>
      <w:szCs w:val="20"/>
      <w:lang w:val="en-GB" w:eastAsia="zh-CN" w:bidi="ar-SA"/>
    </w:rPr>
  </w:style>
  <w:style w:type="character" w:styleId="665" w:default="1">
    <w:name w:val="Default Paragraph Font"/>
    <w:qFormat/>
    <w:pPr>
      <w:pBdr/>
      <w:spacing/>
      <w:ind/>
    </w:pPr>
  </w:style>
  <w:style w:type="character" w:styleId="666">
    <w:name w:val="Strong"/>
    <w:qFormat/>
    <w:pPr>
      <w:pBdr/>
      <w:spacing/>
      <w:ind/>
    </w:pPr>
    <w:rPr>
      <w:b/>
    </w:rPr>
  </w:style>
  <w:style w:type="character" w:styleId="667">
    <w:name w:val="Hyperlink"/>
    <w:pPr>
      <w:pBdr/>
      <w:spacing/>
      <w:ind/>
    </w:pPr>
    <w:rPr>
      <w:color w:val="0000ff"/>
      <w:u w:val="single"/>
    </w:rPr>
  </w:style>
  <w:style w:type="character" w:styleId="668">
    <w:name w:val="FollowedHyperlink"/>
    <w:pPr>
      <w:pBdr/>
      <w:spacing/>
      <w:ind/>
    </w:pPr>
    <w:rPr>
      <w:color w:val="800080"/>
      <w:u w:val="single"/>
    </w:rPr>
  </w:style>
  <w:style w:type="paragraph" w:styleId="669">
    <w:name w:val="Heading"/>
    <w:basedOn w:val="664"/>
    <w:next w:val="670"/>
    <w:qFormat/>
    <w:pPr>
      <w:keepNext w:val="true"/>
      <w:pBdr/>
      <w:spacing w:after="120" w:before="240"/>
      <w:ind/>
    </w:pPr>
    <w:rPr>
      <w:rFonts w:ascii="Liberation Sans" w:hAnsi="Liberation Sans" w:eastAsia="Microsoft YaHei" w:cs="Lucida Sans"/>
      <w:sz w:val="28"/>
      <w:szCs w:val="28"/>
    </w:rPr>
  </w:style>
  <w:style w:type="paragraph" w:styleId="670">
    <w:name w:val="Body Text"/>
    <w:basedOn w:val="664"/>
    <w:pPr>
      <w:pBdr/>
      <w:spacing w:after="140" w:before="0" w:line="276" w:lineRule="auto"/>
      <w:ind/>
    </w:pPr>
  </w:style>
  <w:style w:type="paragraph" w:styleId="671">
    <w:name w:val="List"/>
    <w:basedOn w:val="670"/>
    <w:pPr>
      <w:pBdr/>
      <w:spacing/>
      <w:ind/>
    </w:pPr>
    <w:rPr>
      <w:rFonts w:cs="Lucida Sans"/>
    </w:rPr>
  </w:style>
  <w:style w:type="paragraph" w:styleId="672">
    <w:name w:val="Caption"/>
    <w:basedOn w:val="664"/>
    <w:qFormat/>
    <w:pPr>
      <w:suppressLineNumbers w:val="true"/>
      <w:pBdr/>
      <w:spacing w:after="120" w:before="120"/>
      <w:ind/>
    </w:pPr>
    <w:rPr>
      <w:rFonts w:cs="Lucida Sans"/>
      <w:i/>
      <w:iCs/>
      <w:sz w:val="24"/>
      <w:szCs w:val="24"/>
    </w:rPr>
  </w:style>
  <w:style w:type="paragraph" w:styleId="673">
    <w:name w:val="Index"/>
    <w:basedOn w:val="664"/>
    <w:qFormat/>
    <w:pPr>
      <w:suppressLineNumbers w:val="true"/>
      <w:pBdr/>
      <w:spacing/>
      <w:ind/>
    </w:pPr>
    <w:rPr>
      <w:rFonts w:cs="Lucida Sans"/>
    </w:rPr>
  </w:style>
  <w:style w:type="paragraph" w:styleId="674">
    <w:name w:val="Table Contents"/>
    <w:basedOn w:val="664"/>
    <w:qFormat/>
    <w:pPr>
      <w:widowControl w:val="false"/>
      <w:suppressLineNumbers w:val="true"/>
      <w:pBdr/>
      <w:spacing/>
      <w:ind/>
    </w:pPr>
  </w:style>
  <w:style w:type="paragraph" w:styleId="675">
    <w:name w:val="Table Heading"/>
    <w:basedOn w:val="674"/>
    <w:qFormat/>
    <w:pPr>
      <w:suppressLineNumbers w:val="true"/>
      <w:pBdr/>
      <w:spacing/>
      <w:ind/>
      <w:jc w:val="center"/>
    </w:pPr>
    <w:rPr>
      <w:b/>
      <w:b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yperlink" Target="http://www.year-planner-calendar.wanadoo.co.uk/2040-public-holidays-bank-holiday-dates.htm" TargetMode="External"/><Relationship Id="rId9" Type="http://schemas.openxmlformats.org/officeDocument/2006/relationships/hyperlink" Target="http://www.year-planner-calendar.co.uk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 name=""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ONLYOFFICE/9.1.0.167</Application>
  <HeadingPairs>
    <vt:vector size="0" baseType="variant"/>
  </HeadingPairs>
  <TitlesOfParts>
    <vt:vector size="0" baseType="lpstr"/>
  </TitlesOfPart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2040 Bank Holidays</dc:title>
  <dc:subject>2040 Bank Holidays</dc:subject>
  <dc:creator>Mike Harding Roberts</dc:creator>
  <cp:keywords/>
  <dc:description>Copyright M Harding Roberts 2013
www.hraconsulting-ltd.co.uk
Copyright M Harding Roberts 2013
This document must not be copied,
unchanged or changed, to any website.</dc:description>
  <dc:language>en-GB</dc:language>
  <cp:revision>126</cp:revision>
  <dcterms:created xsi:type="dcterms:W3CDTF">2004-11-20T14:31:00Z</dcterms:created>
  <dcterms:modified xsi:type="dcterms:W3CDTF">2025-11-03T11:01:03Z</dcterms:modified>
</cp:coreProperties>
</file>